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DE4" w:rsidRPr="00FF0901" w:rsidRDefault="00463DE4" w:rsidP="00463DE4">
      <w:pPr>
        <w:jc w:val="both"/>
        <w:rPr>
          <w:rFonts w:ascii="Arial" w:hAnsi="Arial" w:cs="Arial"/>
          <w:color w:val="37474F"/>
          <w:shd w:val="clear" w:color="auto" w:fill="FFFFFF"/>
        </w:rPr>
      </w:pPr>
      <w:r w:rsidRPr="00FF0901"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>NAC-DGERCGC17-00000617:</w:t>
      </w:r>
      <w:r>
        <w:rPr>
          <w:rFonts w:eastAsia="Times New Roman"/>
          <w:sz w:val="30"/>
          <w:szCs w:val="30"/>
          <w:lang w:val="es-ES"/>
        </w:rPr>
        <w:t xml:space="preserve"> </w:t>
      </w:r>
      <w:r w:rsidRPr="00FF0901">
        <w:rPr>
          <w:rFonts w:ascii="Arial" w:hAnsi="Arial" w:cs="Arial"/>
          <w:color w:val="37474F"/>
          <w:shd w:val="clear" w:color="auto" w:fill="FFFFFF"/>
        </w:rPr>
        <w:t>Refórmese la Resolución No. NAC-DGERCGC16-00000532, publicada en el Sexto Suplemento del Registro Oficial No. 913 de 30 de diciembre de 2016</w:t>
      </w:r>
      <w:r>
        <w:rPr>
          <w:rFonts w:ascii="Arial" w:hAnsi="Arial" w:cs="Arial"/>
          <w:color w:val="37474F"/>
          <w:shd w:val="clear" w:color="auto" w:fill="FFFFFF"/>
        </w:rPr>
        <w:t>.</w:t>
      </w:r>
      <w:r w:rsidRPr="00FF0901">
        <w:rPr>
          <w:rFonts w:ascii="Arial" w:hAnsi="Arial" w:cs="Arial"/>
          <w:color w:val="37474F"/>
          <w:shd w:val="clear" w:color="auto" w:fill="FFFFFF"/>
        </w:rPr>
        <w:t xml:space="preserve"> </w:t>
      </w:r>
    </w:p>
    <w:p w:rsidR="00463DE4" w:rsidRDefault="00463DE4" w:rsidP="00463DE4">
      <w:pPr>
        <w:jc w:val="center"/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br/>
        <w:t>Resuelve: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Reformar la Resolución No. NAC-DGERCGC16-00000532 publicada en el Sexto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Suplemento del Registro Oficial 913 del 30 de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diciembre de 2016</w:t>
      </w:r>
    </w:p>
    <w:p w:rsidR="00463DE4" w:rsidRDefault="00463DE4" w:rsidP="00463DE4">
      <w:pPr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Artículo Único.-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Efectúense las siguientes reformas a la Resolución No. NAC-DGERCGC16-00000532 publicada en el Sexto Suplemento del Registro Oficial No. 913, del 30 de diciembre de 2016: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 xml:space="preserve">1. En el literal a) del numeral 3 del artículo 2, sustitúyase el texto: </w:t>
      </w:r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 xml:space="preserve">"al último día laborable del mes de febrero"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por el siguiente : </w:t>
      </w:r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>"al 10 de abril".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2. Al final del literal d) del numeral 3 del artículo 2 numeral 3 literal d, incorpórese el siguiente texto: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"</w:t>
      </w:r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>En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>ningún caso será aceptada como válida la segmentación atendiendo exclusivamente a un criterio proporcional, por la aplicación de los mismos factores a los rubros de un estado financiero ".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3. A continuación del literal e) del numeral 3 del artículo 2, agréguense los siguientes literales: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>f) Selección de la parte analizada.- A efectos de sustentar la selección de la parte analizada, al aplicar métodos de márgenes, se deberá atender a los criterios de disponibilidad y calidad de la información. Para el desarrollo del análisis de precios de transferencia, se deberá seleccionar a la parte local.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>En caso de que la parte local no cumpla con los criterios previamente detallados, se podrá realizar el análisis con la otra parte, a fin de calcular el indicador de rentabilidad.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>g) Comparables ubicados en paraísos fiscales, jurisdicciones de menor imposición y/o regímenes fiscales preferentes.- La selección de comparables no podrá incluir compañías ubicadas en paraísos fiscales, jurisdicciones de menor imposición y/o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>regímenes fiscales preferentes definidos como tales según la legislación tributaria ecuatoriana. "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4. Sustitúyase el numeral 2 del artículo 3 por el siguiente: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 xml:space="preserve">"2. Justificación de los </w:t>
      </w:r>
      <w:proofErr w:type="gramStart"/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>ajustes.-</w:t>
      </w:r>
      <w:proofErr w:type="gramEnd"/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 xml:space="preserve"> Los ajustes de comparabilidad (contables, de capital u otros) deberán realizarse una vez que se haya establecido, de manera cualitativa y cuantitativa, la necesidad de su aplicación y la razonabilidad técnica, tanto de su formulación como de su efecto en mejorar el grado de comparabilidad entre la situación económica de las operaciones analizadas y aquella de las comparables. La demostración cuantitativa correspondiente deberá realizarse con el mayor detalle posible, indicando la afectación al precio o indicador utilizado y, de aplicar, al rango de plena competencia.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i/>
          <w:iCs/>
          <w:sz w:val="16"/>
          <w:szCs w:val="16"/>
          <w:lang w:val="es-ES"/>
        </w:rPr>
        <w:t>Para la consideración de ajustes contables a la información de la parte analizada o de los comparables seleccionados, deberá justificarse obligatoriamente la referencia de la práctica, principio o norma contable por la cual es necesaria la aplicación del ajuste. "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DISPOSICIÓN FINAL.-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La presente Resolución entrará en vigencia a partir de su publicación en el Registro Oficial y su aplicación será a partir del 1 de enero del 2018.</w:t>
      </w:r>
    </w:p>
    <w:p w:rsidR="009443D9" w:rsidRPr="00463DE4" w:rsidRDefault="009443D9">
      <w:pPr>
        <w:rPr>
          <w:lang w:val="es-ES"/>
        </w:rPr>
      </w:pPr>
      <w:bookmarkStart w:id="0" w:name="_GoBack"/>
      <w:bookmarkEnd w:id="0"/>
    </w:p>
    <w:sectPr w:rsidR="009443D9" w:rsidRPr="00463D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DE4"/>
    <w:rsid w:val="00463DE4"/>
    <w:rsid w:val="0094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1A4C3-29B1-4DB5-9642-B3A61920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E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63D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2018-01-09T15:35:00Z</dcterms:created>
  <dcterms:modified xsi:type="dcterms:W3CDTF">2018-01-09T15:36:00Z</dcterms:modified>
</cp:coreProperties>
</file>